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jc w:val="center"/>
        <w:rPr>
          <w:rFonts w:ascii="Arial" w:hAnsi="Arial" w:cs="Arial"/>
          <w:sz w:val="22"/>
          <w:szCs w:val="22"/>
        </w:rPr>
      </w:pPr>
      <w:r>
        <w:rPr>
          <w:rFonts w:ascii="Arial" w:hAnsi="Arial" w:cs="Arial"/>
          <w:sz w:val="22"/>
          <w:szCs w:val="22"/>
        </w:rPr>
        <w:t>ATTACHMENT A</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jc w:val="center"/>
        <w:rPr>
          <w:rFonts w:ascii="Arial" w:hAnsi="Arial" w:cs="Arial"/>
          <w:sz w:val="22"/>
          <w:szCs w:val="22"/>
        </w:rPr>
      </w:pP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jc w:val="center"/>
        <w:rPr>
          <w:rFonts w:ascii="Arial" w:hAnsi="Arial" w:cs="Arial"/>
          <w:sz w:val="22"/>
          <w:szCs w:val="22"/>
        </w:rPr>
      </w:pPr>
    </w:p>
    <w:p w:rsidR="0003171F" w:rsidRDefault="0003171F" w:rsidP="0003171F">
      <w:pPr>
        <w:tabs>
          <w:tab w:val="left" w:pos="1800"/>
          <w:tab w:val="left" w:pos="2340"/>
          <w:tab w:val="left" w:pos="6120"/>
          <w:tab w:val="left" w:pos="6660"/>
          <w:tab w:val="left" w:pos="7560"/>
          <w:tab w:val="left" w:pos="8280"/>
          <w:tab w:val="left" w:pos="9000"/>
          <w:tab w:val="left" w:pos="9720"/>
          <w:tab w:val="left" w:pos="10440"/>
          <w:tab w:val="left" w:pos="11160"/>
          <w:tab w:val="left" w:pos="11880"/>
          <w:tab w:val="left" w:pos="12600"/>
        </w:tabs>
        <w:ind w:left="2340" w:hanging="2520"/>
        <w:rPr>
          <w:rFonts w:ascii="Arial" w:hAnsi="Arial" w:cs="Arial"/>
          <w:sz w:val="22"/>
          <w:szCs w:val="22"/>
        </w:rPr>
      </w:pPr>
      <w:r>
        <w:rPr>
          <w:rFonts w:ascii="Arial" w:hAnsi="Arial" w:cs="Arial"/>
          <w:sz w:val="22"/>
          <w:szCs w:val="22"/>
        </w:rPr>
        <w:t xml:space="preserve">STATUS CODE      </w:t>
      </w:r>
      <w:r>
        <w:rPr>
          <w:rFonts w:ascii="Arial" w:hAnsi="Arial" w:cs="Arial"/>
          <w:sz w:val="22"/>
          <w:szCs w:val="22"/>
        </w:rPr>
        <w:tab/>
        <w:t xml:space="preserve">A =   </w:t>
      </w:r>
      <w:r>
        <w:rPr>
          <w:rFonts w:ascii="Arial" w:hAnsi="Arial" w:cs="Arial"/>
          <w:sz w:val="22"/>
          <w:szCs w:val="22"/>
          <w:u w:val="single"/>
        </w:rPr>
        <w:t>Active Code</w:t>
      </w:r>
      <w:r>
        <w:rPr>
          <w:rFonts w:ascii="Arial" w:hAnsi="Arial" w:cs="Arial"/>
          <w:sz w:val="22"/>
          <w:szCs w:val="22"/>
        </w:rPr>
        <w:t>.  These codes are paid separately under the physician fee schedule, if covered.  There will be RVUs for codes with this status.  The presence of an "</w:t>
      </w:r>
      <w:proofErr w:type="gramStart"/>
      <w:r>
        <w:rPr>
          <w:rFonts w:ascii="Arial" w:hAnsi="Arial" w:cs="Arial"/>
          <w:sz w:val="22"/>
          <w:szCs w:val="22"/>
        </w:rPr>
        <w:t>A</w:t>
      </w:r>
      <w:proofErr w:type="gramEnd"/>
      <w:r>
        <w:rPr>
          <w:rFonts w:ascii="Arial" w:hAnsi="Arial" w:cs="Arial"/>
          <w:sz w:val="22"/>
          <w:szCs w:val="22"/>
        </w:rPr>
        <w:t>" indicator does not mean that Medicare has made a national coverage determination regarding the service; carriers remain responsible for coverage decisions in the absence of a national Medicare policy.</w:t>
      </w:r>
    </w:p>
    <w:p w:rsidR="0003171F" w:rsidRDefault="0003171F" w:rsidP="0003171F">
      <w:pPr>
        <w:tabs>
          <w:tab w:val="left" w:pos="1800"/>
          <w:tab w:val="left" w:pos="2340"/>
          <w:tab w:val="left" w:pos="6120"/>
          <w:tab w:val="left" w:pos="6660"/>
          <w:tab w:val="left" w:pos="7560"/>
          <w:tab w:val="left" w:pos="8280"/>
          <w:tab w:val="left" w:pos="9000"/>
          <w:tab w:val="left" w:pos="9720"/>
          <w:tab w:val="left" w:pos="10440"/>
          <w:tab w:val="left" w:pos="11160"/>
          <w:tab w:val="left" w:pos="11880"/>
          <w:tab w:val="left" w:pos="12600"/>
        </w:tabs>
        <w:ind w:left="2340" w:hanging="2520"/>
        <w:rPr>
          <w:rFonts w:ascii="Arial" w:hAnsi="Arial" w:cs="Arial"/>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 xml:space="preserve">B =  </w:t>
      </w:r>
      <w:r>
        <w:rPr>
          <w:rFonts w:ascii="Arial" w:hAnsi="Arial" w:cs="Arial"/>
          <w:sz w:val="22"/>
          <w:szCs w:val="22"/>
        </w:rPr>
        <w:tab/>
      </w:r>
      <w:r>
        <w:rPr>
          <w:rFonts w:ascii="Arial" w:hAnsi="Arial" w:cs="Arial"/>
          <w:sz w:val="22"/>
          <w:szCs w:val="22"/>
          <w:u w:val="single"/>
        </w:rPr>
        <w:t>Bundled Code</w:t>
      </w:r>
      <w:r>
        <w:rPr>
          <w:rFonts w:ascii="Arial" w:hAnsi="Arial" w:cs="Arial"/>
          <w:sz w:val="22"/>
          <w:szCs w:val="22"/>
        </w:rPr>
        <w:t xml:space="preserve">.  </w:t>
      </w:r>
      <w:proofErr w:type="gramStart"/>
      <w:r>
        <w:rPr>
          <w:rFonts w:ascii="Arial" w:hAnsi="Arial" w:cs="Arial"/>
          <w:sz w:val="22"/>
          <w:szCs w:val="22"/>
        </w:rPr>
        <w:t>Payment for covered services are</w:t>
      </w:r>
      <w:proofErr w:type="gramEnd"/>
      <w:r>
        <w:rPr>
          <w:rFonts w:ascii="Arial" w:hAnsi="Arial" w:cs="Arial"/>
          <w:sz w:val="22"/>
          <w:szCs w:val="22"/>
        </w:rPr>
        <w:t xml:space="preserve"> always bundled into payment for other services not specified.  If RVUs are shown, they are not used for Medicare payment.  If these services are covered, payment for them is subsumed by the payment for the services to which they are incident. (An example is a telephone call from a hospital nurse regarding care of a patient).</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C =</w:t>
      </w:r>
      <w:r>
        <w:rPr>
          <w:rFonts w:ascii="Arial" w:hAnsi="Arial" w:cs="Arial"/>
          <w:sz w:val="22"/>
          <w:szCs w:val="22"/>
        </w:rPr>
        <w:tab/>
      </w:r>
      <w:r>
        <w:rPr>
          <w:rFonts w:ascii="Arial" w:hAnsi="Arial" w:cs="Arial"/>
          <w:sz w:val="22"/>
          <w:szCs w:val="22"/>
          <w:u w:val="single"/>
        </w:rPr>
        <w:t>Carriers price the code</w:t>
      </w:r>
      <w:r>
        <w:rPr>
          <w:rFonts w:ascii="Arial" w:hAnsi="Arial" w:cs="Arial"/>
          <w:sz w:val="22"/>
          <w:szCs w:val="22"/>
        </w:rPr>
        <w:t>.  Carriers will establish RVUs and payment amounts for these services, generally on an individual case basis following review of documentation such as an operative report.</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D =</w:t>
      </w:r>
      <w:r>
        <w:rPr>
          <w:rFonts w:ascii="Arial" w:hAnsi="Arial" w:cs="Arial"/>
          <w:sz w:val="22"/>
          <w:szCs w:val="22"/>
        </w:rPr>
        <w:tab/>
      </w:r>
      <w:r>
        <w:rPr>
          <w:rFonts w:ascii="Arial" w:hAnsi="Arial" w:cs="Arial"/>
          <w:sz w:val="22"/>
          <w:szCs w:val="22"/>
          <w:u w:val="single"/>
        </w:rPr>
        <w:t>Deleted Codes</w:t>
      </w:r>
      <w:r>
        <w:rPr>
          <w:rFonts w:ascii="Arial" w:hAnsi="Arial" w:cs="Arial"/>
          <w:sz w:val="22"/>
          <w:szCs w:val="22"/>
        </w:rPr>
        <w:t xml:space="preserve">.  These codes are deleted effective with the beginning of the applicable year.    These codes will not appear on the 2006 file as the grace period for deleted codes is no longer applicable.    </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1800"/>
          <w:tab w:val="left" w:pos="234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E =</w:t>
      </w:r>
      <w:r>
        <w:rPr>
          <w:rFonts w:ascii="Arial" w:hAnsi="Arial" w:cs="Arial"/>
          <w:sz w:val="22"/>
          <w:szCs w:val="22"/>
        </w:rPr>
        <w:tab/>
      </w:r>
      <w:r>
        <w:rPr>
          <w:rFonts w:ascii="Arial" w:hAnsi="Arial" w:cs="Arial"/>
          <w:sz w:val="22"/>
          <w:szCs w:val="22"/>
          <w:u w:val="single"/>
        </w:rPr>
        <w:t>Excluded from Physician Fee Schedule by regulation</w:t>
      </w:r>
      <w:r>
        <w:rPr>
          <w:rFonts w:ascii="Arial" w:hAnsi="Arial" w:cs="Arial"/>
          <w:sz w:val="22"/>
          <w:szCs w:val="22"/>
        </w:rPr>
        <w:t xml:space="preserve">.  These codes are for items and/or services that CMS chose to exclude from the fee schedule payment by regulation.  No RVUs are shown, and no payment may be made under the fee schedule for these codes.  Payment for them, when covered, generally continues under reasonable charge procedures. </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ind w:left="5400" w:hanging="720"/>
        <w:rPr>
          <w:rFonts w:ascii="Arial" w:hAnsi="Arial" w:cs="Arial"/>
          <w:sz w:val="22"/>
          <w:szCs w:val="22"/>
        </w:rPr>
      </w:pPr>
    </w:p>
    <w:p w:rsidR="0003171F" w:rsidRDefault="0003171F" w:rsidP="0003171F">
      <w:pPr>
        <w:tabs>
          <w:tab w:val="left" w:pos="1800"/>
          <w:tab w:val="left" w:pos="234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 xml:space="preserve">F =  </w:t>
      </w:r>
      <w:r>
        <w:rPr>
          <w:rFonts w:ascii="Arial" w:hAnsi="Arial" w:cs="Arial"/>
          <w:sz w:val="22"/>
          <w:szCs w:val="22"/>
        </w:rPr>
        <w:tab/>
      </w:r>
      <w:r>
        <w:rPr>
          <w:rFonts w:ascii="Arial" w:hAnsi="Arial" w:cs="Arial"/>
          <w:sz w:val="22"/>
          <w:szCs w:val="22"/>
          <w:u w:val="single"/>
        </w:rPr>
        <w:t>Deleted/Discontinued Codes</w:t>
      </w:r>
      <w:r>
        <w:rPr>
          <w:rFonts w:ascii="Arial" w:hAnsi="Arial" w:cs="Arial"/>
          <w:sz w:val="22"/>
          <w:szCs w:val="22"/>
        </w:rPr>
        <w:t xml:space="preserve">.  </w:t>
      </w:r>
      <w:proofErr w:type="gramStart"/>
      <w:r>
        <w:rPr>
          <w:rFonts w:ascii="Arial" w:hAnsi="Arial" w:cs="Arial"/>
          <w:sz w:val="22"/>
          <w:szCs w:val="22"/>
        </w:rPr>
        <w:t>(Code not subject to a 90 day grace period).</w:t>
      </w:r>
      <w:proofErr w:type="gramEnd"/>
      <w:r>
        <w:rPr>
          <w:rFonts w:ascii="Arial" w:hAnsi="Arial" w:cs="Arial"/>
          <w:sz w:val="22"/>
          <w:szCs w:val="22"/>
        </w:rPr>
        <w:t xml:space="preserve"> These codes will not appear on the 2006 file as the grace period for deleted codes is no longer applicable.    </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ind w:left="5400" w:hanging="720"/>
        <w:rPr>
          <w:rFonts w:ascii="Arial" w:hAnsi="Arial" w:cs="Arial"/>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G =</w:t>
      </w:r>
      <w:r>
        <w:rPr>
          <w:rFonts w:ascii="Arial" w:hAnsi="Arial" w:cs="Arial"/>
          <w:sz w:val="22"/>
          <w:szCs w:val="22"/>
        </w:rPr>
        <w:tab/>
      </w:r>
      <w:r>
        <w:rPr>
          <w:rFonts w:ascii="Arial" w:hAnsi="Arial" w:cs="Arial"/>
          <w:sz w:val="22"/>
          <w:szCs w:val="22"/>
          <w:u w:val="single"/>
        </w:rPr>
        <w:t>Not valid for Medicare purposes</w:t>
      </w:r>
      <w:r>
        <w:rPr>
          <w:rFonts w:ascii="Arial" w:hAnsi="Arial" w:cs="Arial"/>
          <w:sz w:val="22"/>
          <w:szCs w:val="22"/>
        </w:rPr>
        <w:t xml:space="preserve">.  Medicare uses another code for reporting of, and payment for, these services.  </w:t>
      </w:r>
      <w:proofErr w:type="gramStart"/>
      <w:r>
        <w:rPr>
          <w:rFonts w:ascii="Arial" w:hAnsi="Arial" w:cs="Arial"/>
          <w:sz w:val="22"/>
          <w:szCs w:val="22"/>
        </w:rPr>
        <w:t>(Code subject to a 90 day grace period.)</w:t>
      </w:r>
      <w:proofErr w:type="gramEnd"/>
      <w:r>
        <w:rPr>
          <w:rFonts w:ascii="Arial" w:hAnsi="Arial" w:cs="Arial"/>
          <w:sz w:val="22"/>
          <w:szCs w:val="22"/>
        </w:rPr>
        <w:t xml:space="preserve">  These codes will not appear on the 2006 file as the grace period for deleted codes is no longer applicable.    </w:t>
      </w: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H =</w:t>
      </w:r>
      <w:r>
        <w:rPr>
          <w:rFonts w:ascii="Arial" w:hAnsi="Arial" w:cs="Arial"/>
          <w:sz w:val="22"/>
          <w:szCs w:val="22"/>
        </w:rPr>
        <w:tab/>
      </w:r>
      <w:r>
        <w:rPr>
          <w:rFonts w:ascii="Arial" w:hAnsi="Arial" w:cs="Arial"/>
          <w:sz w:val="22"/>
          <w:szCs w:val="22"/>
          <w:u w:val="single"/>
        </w:rPr>
        <w:t>Deleted Modifier</w:t>
      </w:r>
      <w:r>
        <w:rPr>
          <w:rFonts w:ascii="Arial" w:hAnsi="Arial" w:cs="Arial"/>
          <w:sz w:val="22"/>
          <w:szCs w:val="22"/>
        </w:rPr>
        <w:t xml:space="preserve">.  This code had an associated TC and/or 26 </w:t>
      </w:r>
      <w:proofErr w:type="gramStart"/>
      <w:r>
        <w:rPr>
          <w:rFonts w:ascii="Arial" w:hAnsi="Arial" w:cs="Arial"/>
          <w:sz w:val="22"/>
          <w:szCs w:val="22"/>
        </w:rPr>
        <w:t>modifier</w:t>
      </w:r>
      <w:proofErr w:type="gramEnd"/>
      <w:r>
        <w:rPr>
          <w:rFonts w:ascii="Arial" w:hAnsi="Arial" w:cs="Arial"/>
          <w:sz w:val="22"/>
          <w:szCs w:val="22"/>
        </w:rPr>
        <w:t xml:space="preserve"> in the previous year.  For the current year, the TC or 26 </w:t>
      </w:r>
      <w:proofErr w:type="gramStart"/>
      <w:r>
        <w:rPr>
          <w:rFonts w:ascii="Arial" w:hAnsi="Arial" w:cs="Arial"/>
          <w:sz w:val="22"/>
          <w:szCs w:val="22"/>
        </w:rPr>
        <w:t>component</w:t>
      </w:r>
      <w:proofErr w:type="gramEnd"/>
      <w:r>
        <w:rPr>
          <w:rFonts w:ascii="Arial" w:hAnsi="Arial" w:cs="Arial"/>
          <w:sz w:val="22"/>
          <w:szCs w:val="22"/>
        </w:rPr>
        <w:t xml:space="preserve"> shown for the code has been deleted, and the deleted component is shown with a status code of "H".   These codes will not appear on the 2006 file as the grace period for deleted codes is no longer applicable.     </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4680"/>
          <w:tab w:val="left" w:pos="486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 xml:space="preserve">I = </w:t>
      </w:r>
      <w:r>
        <w:rPr>
          <w:rFonts w:ascii="Arial" w:hAnsi="Arial" w:cs="Arial"/>
          <w:sz w:val="22"/>
          <w:szCs w:val="22"/>
        </w:rPr>
        <w:tab/>
      </w:r>
      <w:r>
        <w:rPr>
          <w:rFonts w:ascii="Arial" w:hAnsi="Arial" w:cs="Arial"/>
          <w:sz w:val="22"/>
          <w:szCs w:val="22"/>
          <w:u w:val="single"/>
        </w:rPr>
        <w:t>Not valid for Medicare purposes</w:t>
      </w:r>
      <w:r>
        <w:rPr>
          <w:rFonts w:ascii="Arial" w:hAnsi="Arial" w:cs="Arial"/>
          <w:sz w:val="22"/>
          <w:szCs w:val="22"/>
        </w:rPr>
        <w:t xml:space="preserve">.  Medicare uses another code for reporting of, and payment for, these services.  </w:t>
      </w:r>
      <w:proofErr w:type="gramStart"/>
      <w:r>
        <w:rPr>
          <w:rFonts w:ascii="Arial" w:hAnsi="Arial" w:cs="Arial"/>
          <w:sz w:val="22"/>
          <w:szCs w:val="22"/>
        </w:rPr>
        <w:t xml:space="preserve">(Code </w:t>
      </w:r>
      <w:r>
        <w:rPr>
          <w:rFonts w:ascii="Arial" w:hAnsi="Arial" w:cs="Arial"/>
          <w:sz w:val="22"/>
          <w:szCs w:val="22"/>
          <w:u w:val="single"/>
        </w:rPr>
        <w:t>NOT</w:t>
      </w:r>
      <w:r>
        <w:rPr>
          <w:rFonts w:ascii="Arial" w:hAnsi="Arial" w:cs="Arial"/>
          <w:sz w:val="22"/>
          <w:szCs w:val="22"/>
        </w:rPr>
        <w:t xml:space="preserve"> subject to a 90 day grace period.)</w:t>
      </w:r>
      <w:proofErr w:type="gramEnd"/>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ind w:left="5400" w:hanging="720"/>
        <w:rPr>
          <w:rFonts w:ascii="Arial" w:hAnsi="Arial" w:cs="Arial"/>
          <w:bCs/>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bCs/>
          <w:sz w:val="22"/>
          <w:szCs w:val="22"/>
        </w:rPr>
      </w:pPr>
      <w:proofErr w:type="gramStart"/>
      <w:r>
        <w:rPr>
          <w:rFonts w:ascii="Arial" w:hAnsi="Arial" w:cs="Arial"/>
          <w:bCs/>
          <w:sz w:val="22"/>
          <w:szCs w:val="22"/>
        </w:rPr>
        <w:t>J  =</w:t>
      </w:r>
      <w:proofErr w:type="gramEnd"/>
      <w:r>
        <w:rPr>
          <w:rFonts w:ascii="Arial" w:hAnsi="Arial" w:cs="Arial"/>
          <w:bCs/>
          <w:sz w:val="22"/>
          <w:szCs w:val="22"/>
        </w:rPr>
        <w:t xml:space="preserve">   Anesthesia Services.   There are no RVUs and no payment amounts for these codes.    The intent of this value is to facilitate the identification of anesthesia services.  </w:t>
      </w: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bCs/>
          <w:sz w:val="22"/>
          <w:szCs w:val="22"/>
        </w:rPr>
      </w:pPr>
    </w:p>
    <w:p w:rsidR="0003171F" w:rsidRDefault="0003171F" w:rsidP="0003171F">
      <w:pPr>
        <w:ind w:firstLine="1800"/>
        <w:rPr>
          <w:rFonts w:ascii="Arial" w:hAnsi="Arial" w:cs="Arial"/>
          <w:b/>
          <w:snapToGrid/>
          <w:sz w:val="22"/>
          <w:szCs w:val="22"/>
        </w:rPr>
      </w:pPr>
      <w:r>
        <w:rPr>
          <w:rFonts w:ascii="Arial" w:hAnsi="Arial" w:cs="Arial"/>
          <w:bCs/>
          <w:sz w:val="22"/>
          <w:szCs w:val="22"/>
        </w:rPr>
        <w:t xml:space="preserve">M =   </w:t>
      </w:r>
      <w:r>
        <w:rPr>
          <w:rFonts w:ascii="Arial" w:hAnsi="Arial" w:cs="Arial"/>
          <w:bCs/>
          <w:snapToGrid/>
          <w:sz w:val="22"/>
          <w:szCs w:val="22"/>
        </w:rPr>
        <w:t>Measurement codes.   Used for reporting purposes only.</w:t>
      </w:r>
      <w:r>
        <w:rPr>
          <w:rFonts w:ascii="Arial" w:hAnsi="Arial" w:cs="Arial"/>
          <w:b/>
          <w:snapToGrid/>
          <w:sz w:val="22"/>
          <w:szCs w:val="22"/>
        </w:rPr>
        <w:t xml:space="preserve"> </w:t>
      </w:r>
    </w:p>
    <w:p w:rsidR="0003171F" w:rsidRDefault="0003171F" w:rsidP="0003171F">
      <w:pPr>
        <w:widowControl/>
        <w:rPr>
          <w:rFonts w:ascii="Arial" w:hAnsi="Arial" w:cs="Arial"/>
          <w:snapToGrid/>
          <w:color w:val="0000FF"/>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5400" w:hanging="3600"/>
        <w:rPr>
          <w:rFonts w:ascii="Arial" w:hAnsi="Arial" w:cs="Arial"/>
          <w:sz w:val="22"/>
          <w:szCs w:val="22"/>
        </w:rPr>
      </w:pPr>
      <w:r>
        <w:rPr>
          <w:rFonts w:ascii="Arial" w:hAnsi="Arial" w:cs="Arial"/>
          <w:sz w:val="22"/>
          <w:szCs w:val="22"/>
        </w:rPr>
        <w:t>N =</w:t>
      </w:r>
      <w:r>
        <w:rPr>
          <w:rFonts w:ascii="Arial" w:hAnsi="Arial" w:cs="Arial"/>
          <w:sz w:val="22"/>
          <w:szCs w:val="22"/>
        </w:rPr>
        <w:tab/>
      </w:r>
      <w:r>
        <w:rPr>
          <w:rFonts w:ascii="Arial" w:hAnsi="Arial" w:cs="Arial"/>
          <w:sz w:val="22"/>
          <w:szCs w:val="22"/>
          <w:u w:val="single"/>
        </w:rPr>
        <w:t>Non-covered Services</w:t>
      </w:r>
      <w:r>
        <w:rPr>
          <w:rFonts w:ascii="Arial" w:hAnsi="Arial" w:cs="Arial"/>
          <w:sz w:val="22"/>
          <w:szCs w:val="22"/>
        </w:rPr>
        <w:t>.  These services are not covered by Medicare.</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P =</w:t>
      </w:r>
      <w:r>
        <w:rPr>
          <w:rFonts w:ascii="Arial" w:hAnsi="Arial" w:cs="Arial"/>
          <w:sz w:val="22"/>
          <w:szCs w:val="22"/>
        </w:rPr>
        <w:tab/>
      </w:r>
      <w:r>
        <w:rPr>
          <w:rFonts w:ascii="Arial" w:hAnsi="Arial" w:cs="Arial"/>
          <w:sz w:val="22"/>
          <w:szCs w:val="22"/>
          <w:u w:val="single"/>
        </w:rPr>
        <w:t>Bundled/Excluded Codes</w:t>
      </w:r>
      <w:r>
        <w:rPr>
          <w:rFonts w:ascii="Arial" w:hAnsi="Arial" w:cs="Arial"/>
          <w:sz w:val="22"/>
          <w:szCs w:val="22"/>
        </w:rPr>
        <w:t>.  There are no RVUs and no payment amounts for these services.  No separate payment should be made for them under the fee schedule.</w:t>
      </w:r>
    </w:p>
    <w:p w:rsidR="0003171F" w:rsidRDefault="0003171F" w:rsidP="0003171F">
      <w:pPr>
        <w:tabs>
          <w:tab w:val="left" w:pos="2700"/>
          <w:tab w:val="left" w:pos="4680"/>
          <w:tab w:val="left" w:pos="5400"/>
          <w:tab w:val="left" w:pos="6660"/>
          <w:tab w:val="left" w:pos="7560"/>
          <w:tab w:val="left" w:pos="8280"/>
          <w:tab w:val="left" w:pos="9000"/>
          <w:tab w:val="left" w:pos="9720"/>
          <w:tab w:val="left" w:pos="10440"/>
          <w:tab w:val="left" w:pos="11160"/>
          <w:tab w:val="left" w:pos="11880"/>
          <w:tab w:val="left" w:pos="12600"/>
        </w:tabs>
        <w:ind w:left="2700"/>
        <w:rPr>
          <w:rFonts w:ascii="Arial" w:hAnsi="Arial" w:cs="Arial"/>
          <w:sz w:val="22"/>
          <w:szCs w:val="22"/>
        </w:rPr>
      </w:pPr>
      <w:r>
        <w:rPr>
          <w:rFonts w:ascii="Arial" w:hAnsi="Arial" w:cs="Arial"/>
          <w:sz w:val="22"/>
          <w:szCs w:val="22"/>
        </w:rPr>
        <w:t>--If the item or service is covered as incident to a physician service and is provided on the same day as a physician service, payment for it is bundled into the payment for the physician service to which it is incident.  (An example is an elastic bandage furnished by a physician incident to physician service.)</w:t>
      </w:r>
    </w:p>
    <w:p w:rsidR="0003171F" w:rsidRDefault="0003171F" w:rsidP="0003171F">
      <w:pPr>
        <w:tabs>
          <w:tab w:val="left" w:pos="2700"/>
          <w:tab w:val="left" w:pos="4680"/>
          <w:tab w:val="left" w:pos="5400"/>
          <w:tab w:val="left" w:pos="6660"/>
          <w:tab w:val="left" w:pos="7560"/>
          <w:tab w:val="left" w:pos="8280"/>
          <w:tab w:val="left" w:pos="9000"/>
          <w:tab w:val="left" w:pos="9720"/>
          <w:tab w:val="left" w:pos="10440"/>
          <w:tab w:val="left" w:pos="11160"/>
          <w:tab w:val="left" w:pos="11880"/>
          <w:tab w:val="left" w:pos="12600"/>
        </w:tabs>
        <w:ind w:left="2700"/>
        <w:rPr>
          <w:rFonts w:ascii="Arial" w:hAnsi="Arial" w:cs="Arial"/>
          <w:sz w:val="22"/>
          <w:szCs w:val="22"/>
        </w:rPr>
      </w:pPr>
      <w:r>
        <w:rPr>
          <w:rFonts w:ascii="Arial" w:hAnsi="Arial" w:cs="Arial"/>
          <w:sz w:val="22"/>
          <w:szCs w:val="22"/>
        </w:rPr>
        <w:t>--If the item or service is covered as other than incident to a physician service, it is excluded from the fee schedule (i.e., colostomy supplies) and should be paid under the other payment provision of the Act.</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ind w:left="7560"/>
        <w:rPr>
          <w:rFonts w:ascii="Arial" w:hAnsi="Arial" w:cs="Arial"/>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R =</w:t>
      </w:r>
      <w:r>
        <w:rPr>
          <w:rFonts w:ascii="Arial" w:hAnsi="Arial" w:cs="Arial"/>
          <w:sz w:val="22"/>
          <w:szCs w:val="22"/>
        </w:rPr>
        <w:tab/>
      </w:r>
      <w:r>
        <w:rPr>
          <w:rFonts w:ascii="Arial" w:hAnsi="Arial" w:cs="Arial"/>
          <w:sz w:val="22"/>
          <w:szCs w:val="22"/>
          <w:u w:val="single"/>
        </w:rPr>
        <w:t>Restricted Coverage</w:t>
      </w:r>
      <w:r>
        <w:rPr>
          <w:rFonts w:ascii="Arial" w:hAnsi="Arial" w:cs="Arial"/>
          <w:sz w:val="22"/>
          <w:szCs w:val="22"/>
        </w:rPr>
        <w:t xml:space="preserve">.  Special coverage instructions apply.  If covered, the service is carrier priced.  (NOTE:  The majority of codes to which this indicator will be assigned are the alpha-numeric dental codes, which begin with "D".  We are assigning the indicator to a limited number of CPT codes which represent services that are covered only in unusual circumstances.) </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T =</w:t>
      </w:r>
      <w:r>
        <w:rPr>
          <w:rFonts w:ascii="Arial" w:hAnsi="Arial" w:cs="Arial"/>
          <w:sz w:val="22"/>
          <w:szCs w:val="22"/>
        </w:rPr>
        <w:tab/>
      </w:r>
      <w:r>
        <w:rPr>
          <w:rFonts w:ascii="Arial" w:hAnsi="Arial" w:cs="Arial"/>
          <w:sz w:val="22"/>
          <w:szCs w:val="22"/>
          <w:u w:val="single"/>
        </w:rPr>
        <w:t>Injections</w:t>
      </w:r>
      <w:r>
        <w:rPr>
          <w:rFonts w:ascii="Arial" w:hAnsi="Arial" w:cs="Arial"/>
          <w:sz w:val="22"/>
          <w:szCs w:val="22"/>
        </w:rPr>
        <w:t xml:space="preserve">.  There are RVUS and payment amounts for these services, but they are only paid if there are no other services payable under the physician fee schedule billed on the same date by the same provider.  If any other services payable under the physician fee schedule are billed on the same date by the same provider, these services are bundled into the physician services for which payment is made.  (NOTE:  This is a change from the previous definition, which states that injection services are bundled into </w:t>
      </w:r>
      <w:r>
        <w:rPr>
          <w:rFonts w:ascii="Arial" w:hAnsi="Arial" w:cs="Arial"/>
          <w:sz w:val="22"/>
          <w:szCs w:val="22"/>
          <w:u w:val="single"/>
        </w:rPr>
        <w:t>any</w:t>
      </w:r>
      <w:r>
        <w:rPr>
          <w:rFonts w:ascii="Arial" w:hAnsi="Arial" w:cs="Arial"/>
          <w:sz w:val="22"/>
          <w:szCs w:val="22"/>
        </w:rPr>
        <w:t xml:space="preserve"> other services billed on the same date.)</w:t>
      </w: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p>
    <w:p w:rsidR="0003171F" w:rsidRDefault="0003171F" w:rsidP="0003171F">
      <w:pPr>
        <w:tabs>
          <w:tab w:val="left" w:pos="2340"/>
          <w:tab w:val="left" w:pos="4680"/>
          <w:tab w:val="left" w:pos="6120"/>
          <w:tab w:val="left" w:pos="6660"/>
          <w:tab w:val="left" w:pos="7560"/>
          <w:tab w:val="left" w:pos="8280"/>
          <w:tab w:val="left" w:pos="9000"/>
          <w:tab w:val="left" w:pos="9720"/>
          <w:tab w:val="left" w:pos="10440"/>
          <w:tab w:val="left" w:pos="11160"/>
          <w:tab w:val="left" w:pos="11880"/>
          <w:tab w:val="left" w:pos="12600"/>
        </w:tabs>
        <w:ind w:left="2340" w:hanging="540"/>
        <w:rPr>
          <w:rFonts w:ascii="Arial" w:hAnsi="Arial" w:cs="Arial"/>
          <w:sz w:val="22"/>
          <w:szCs w:val="22"/>
        </w:rPr>
      </w:pPr>
      <w:r>
        <w:rPr>
          <w:rFonts w:ascii="Arial" w:hAnsi="Arial" w:cs="Arial"/>
          <w:sz w:val="22"/>
          <w:szCs w:val="22"/>
        </w:rPr>
        <w:t>X =</w:t>
      </w:r>
      <w:r>
        <w:rPr>
          <w:rFonts w:ascii="Arial" w:hAnsi="Arial" w:cs="Arial"/>
          <w:sz w:val="22"/>
          <w:szCs w:val="22"/>
        </w:rPr>
        <w:tab/>
      </w:r>
      <w:r>
        <w:rPr>
          <w:rFonts w:ascii="Arial" w:hAnsi="Arial" w:cs="Arial"/>
          <w:sz w:val="22"/>
          <w:szCs w:val="22"/>
          <w:u w:val="single"/>
        </w:rPr>
        <w:t>Statutory Exclusion</w:t>
      </w:r>
      <w:r>
        <w:rPr>
          <w:rFonts w:ascii="Arial" w:hAnsi="Arial" w:cs="Arial"/>
          <w:sz w:val="22"/>
          <w:szCs w:val="22"/>
        </w:rPr>
        <w:t xml:space="preserve">.  These codes represent an item or service that is not in the statutory definition of "physician services" for fee schedule payment purposes.  No RVUS or payment amounts are shown for these codes, and no payment may be made under the physician fee schedule.  (Examples are ambulance services and clinical diagnostic laboratory services.)   </w:t>
      </w: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03171F" w:rsidRDefault="0003171F" w:rsidP="0003171F">
      <w:pPr>
        <w:tabs>
          <w:tab w:val="left" w:pos="4680"/>
          <w:tab w:val="left" w:pos="5400"/>
          <w:tab w:val="left" w:pos="6120"/>
          <w:tab w:val="left" w:pos="6660"/>
          <w:tab w:val="left" w:pos="7560"/>
          <w:tab w:val="left" w:pos="8280"/>
          <w:tab w:val="left" w:pos="9000"/>
          <w:tab w:val="left" w:pos="9720"/>
          <w:tab w:val="left" w:pos="10440"/>
          <w:tab w:val="left" w:pos="11160"/>
          <w:tab w:val="left" w:pos="11880"/>
          <w:tab w:val="left" w:pos="12600"/>
        </w:tabs>
        <w:rPr>
          <w:rFonts w:ascii="Arial" w:hAnsi="Arial" w:cs="Arial"/>
          <w:sz w:val="22"/>
          <w:szCs w:val="22"/>
        </w:rPr>
      </w:pPr>
    </w:p>
    <w:p w:rsidR="006D38E7" w:rsidRDefault="0003171F">
      <w:r w:rsidRPr="0003171F">
        <w:rPr>
          <w:u w:val="single"/>
        </w:rPr>
        <w:t>Source:</w:t>
      </w:r>
      <w:r>
        <w:t xml:space="preserve"> </w:t>
      </w:r>
      <w:r w:rsidRPr="0003171F">
        <w:t>http://www.cms.gov/PhysicianFeeSched/PFSRVF/itemdetail.asp?</w:t>
      </w:r>
      <w:r>
        <w:t xml:space="preserve"> RVU11A</w:t>
      </w:r>
    </w:p>
    <w:p w:rsidR="00C26192" w:rsidRDefault="00C26192">
      <w:r>
        <w:t>CY 2011 Status Indicators</w:t>
      </w:r>
    </w:p>
    <w:sectPr w:rsidR="00C26192" w:rsidSect="00C26192">
      <w:pgSz w:w="12240" w:h="15840"/>
      <w:pgMar w:top="1440" w:right="1440" w:bottom="1296"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5"/>
  <w:proofState w:spelling="clean" w:grammar="clean"/>
  <w:defaultTabStop w:val="720"/>
  <w:characterSpacingControl w:val="doNotCompress"/>
  <w:compat/>
  <w:rsids>
    <w:rsidRoot w:val="0003171F"/>
    <w:rsid w:val="0002291C"/>
    <w:rsid w:val="0003171F"/>
    <w:rsid w:val="0004569F"/>
    <w:rsid w:val="000A36D4"/>
    <w:rsid w:val="00102641"/>
    <w:rsid w:val="003811BE"/>
    <w:rsid w:val="00477CC8"/>
    <w:rsid w:val="00502631"/>
    <w:rsid w:val="006614D7"/>
    <w:rsid w:val="007F7A79"/>
    <w:rsid w:val="00870745"/>
    <w:rsid w:val="008F30BE"/>
    <w:rsid w:val="009360C0"/>
    <w:rsid w:val="0096118E"/>
    <w:rsid w:val="00994834"/>
    <w:rsid w:val="009B21F7"/>
    <w:rsid w:val="00B11888"/>
    <w:rsid w:val="00C26192"/>
    <w:rsid w:val="00C418F4"/>
    <w:rsid w:val="00E03075"/>
    <w:rsid w:val="00E15219"/>
    <w:rsid w:val="00E570BD"/>
    <w:rsid w:val="00E817D3"/>
    <w:rsid w:val="00E973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171F"/>
    <w:pPr>
      <w:widowControl w:val="0"/>
    </w:pPr>
    <w:rPr>
      <w:rFonts w:ascii="Courier New" w:eastAsia="Times New Roman" w:hAnsi="Courier New"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738</Words>
  <Characters>4208</Characters>
  <Application>Microsoft Office Word</Application>
  <DocSecurity>0</DocSecurity>
  <Lines>35</Lines>
  <Paragraphs>9</Paragraphs>
  <ScaleCrop>false</ScaleCrop>
  <Company/>
  <LinksUpToDate>false</LinksUpToDate>
  <CharactersWithSpaces>4937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2010-12-29T18:54:00Z</dcterms:created>
  <dcterms:modified xsi:type="dcterms:W3CDTF">2010-12-29T18:56:00Z</dcterms:modified>
</cp:coreProperties>
</file>